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F0" w:rsidRDefault="005C4DF0" w:rsidP="005C4DF0">
      <w:pPr>
        <w:tabs>
          <w:tab w:val="right" w:pos="9072"/>
        </w:tabs>
      </w:pPr>
      <w:r>
        <w:rPr>
          <w:noProof/>
          <w:lang w:eastAsia="fr-BE"/>
        </w:rPr>
        <w:drawing>
          <wp:inline distT="0" distB="0" distL="0" distR="0">
            <wp:extent cx="780862" cy="131445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35" cy="131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fr-BE"/>
        </w:rPr>
        <w:drawing>
          <wp:inline distT="0" distB="0" distL="0" distR="0">
            <wp:extent cx="3810000" cy="142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_FEDER+wallon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5F" w:rsidRDefault="005C4DF0" w:rsidP="005C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</w:rPr>
      </w:pPr>
      <w:r w:rsidRPr="005C4DF0">
        <w:rPr>
          <w:b/>
          <w:sz w:val="40"/>
        </w:rPr>
        <w:t>2 ATELIERS FINANCES POUR LES NON-FINANCIERS</w:t>
      </w:r>
    </w:p>
    <w:p w:rsidR="005C4DF0" w:rsidRPr="005C4DF0" w:rsidRDefault="005C4DF0" w:rsidP="005C4DF0">
      <w:pPr>
        <w:jc w:val="center"/>
        <w:rPr>
          <w:b/>
          <w:sz w:val="48"/>
        </w:rPr>
      </w:pPr>
      <w:r w:rsidRPr="005C4DF0">
        <w:rPr>
          <w:b/>
          <w:sz w:val="48"/>
        </w:rPr>
        <w:t>PROGRAMME</w:t>
      </w:r>
    </w:p>
    <w:p w:rsidR="005C4DF0" w:rsidRPr="005C4DF0" w:rsidRDefault="005C4DF0" w:rsidP="005C4DF0">
      <w:pPr>
        <w:spacing w:before="100" w:beforeAutospacing="1" w:after="100" w:afterAutospacing="1" w:line="240" w:lineRule="auto"/>
        <w:jc w:val="both"/>
        <w:outlineLvl w:val="4"/>
        <w:rPr>
          <w:rFonts w:eastAsia="Times New Roman" w:cs="Times New Roman"/>
          <w:b/>
          <w:bCs/>
          <w:sz w:val="28"/>
          <w:szCs w:val="24"/>
          <w:lang w:eastAsia="fr-BE"/>
        </w:rPr>
      </w:pPr>
      <w:r w:rsidRPr="005C4DF0">
        <w:rPr>
          <w:rFonts w:eastAsia="Times New Roman" w:cs="Times New Roman"/>
          <w:b/>
          <w:bCs/>
          <w:sz w:val="28"/>
          <w:szCs w:val="24"/>
          <w:u w:val="single"/>
          <w:lang w:eastAsia="fr-BE"/>
        </w:rPr>
        <w:t>Mardi 27 février – 17h &gt; 20h30 : Le compte de résultats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Qu'est-ce que le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compte de résultats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? Définition succincte.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Présentation des notions de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charges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et de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produits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(et différence avec les notions de dépenses et de recettes).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Comment s’organise le compte de résultats ? Présentation des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grandes masses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(exploitation, financier et non-récurrents).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>Mécanisme de l'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amortissement</w:t>
      </w:r>
      <w:r w:rsidRPr="005C4DF0">
        <w:rPr>
          <w:rFonts w:eastAsia="Times New Roman" w:cs="Times New Roman"/>
          <w:sz w:val="24"/>
          <w:szCs w:val="24"/>
          <w:lang w:eastAsia="fr-BE"/>
        </w:rPr>
        <w:t>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Budget e</w:t>
      </w:r>
      <w:r w:rsidRPr="005C4DF0">
        <w:rPr>
          <w:rFonts w:eastAsia="Times New Roman" w:cs="Times New Roman"/>
          <w:sz w:val="24"/>
          <w:szCs w:val="24"/>
          <w:lang w:eastAsia="fr-BE"/>
        </w:rPr>
        <w:t>t compte de résultats.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Premier niveau d'analyse :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Ratio de gestion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(Part des différentes charges sur le chiffre d'affaires) et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origine du résultat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(solde et solde intermédiaire du CR : EBE, résultat courant, etc.).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Second niveau d'analyse :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Valeur ajoutée et rentabilité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(marge et résultat d'exploitation).</w:t>
      </w:r>
    </w:p>
    <w:p w:rsidR="005C4DF0" w:rsidRPr="005C4DF0" w:rsidRDefault="005C4DF0" w:rsidP="005C4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Troisième niveau d'analyse :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Capacité d'autofinancement</w:t>
      </w:r>
      <w:r>
        <w:rPr>
          <w:rFonts w:eastAsia="Times New Roman" w:cs="Times New Roman"/>
          <w:sz w:val="24"/>
          <w:szCs w:val="24"/>
          <w:lang w:eastAsia="fr-BE"/>
        </w:rPr>
        <w:t xml:space="preserve"> (cash-</w:t>
      </w:r>
      <w:r w:rsidRPr="005C4DF0">
        <w:rPr>
          <w:rFonts w:eastAsia="Times New Roman" w:cs="Times New Roman"/>
          <w:sz w:val="24"/>
          <w:szCs w:val="24"/>
          <w:lang w:eastAsia="fr-BE"/>
        </w:rPr>
        <w:t>flow).</w:t>
      </w:r>
    </w:p>
    <w:p w:rsidR="005C4DF0" w:rsidRDefault="005C4DF0" w:rsidP="005C4D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En fonction du public et du type d'entreprises, nous pourrons ajouter une courte explication sur les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variations de stock</w:t>
      </w:r>
      <w:r w:rsidRPr="005C4DF0">
        <w:rPr>
          <w:rFonts w:eastAsia="Times New Roman" w:cs="Times New Roman"/>
          <w:sz w:val="24"/>
          <w:szCs w:val="24"/>
          <w:lang w:eastAsia="fr-BE"/>
        </w:rPr>
        <w:t>, éventuellement des provisions.</w:t>
      </w:r>
    </w:p>
    <w:p w:rsidR="005C4DF0" w:rsidRPr="005C4DF0" w:rsidRDefault="005C4DF0" w:rsidP="005C4DF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4"/>
          <w:lang w:eastAsia="fr-BE"/>
        </w:rPr>
      </w:pPr>
      <w:bookmarkStart w:id="0" w:name="_GoBack"/>
      <w:bookmarkEnd w:id="0"/>
      <w:r w:rsidRPr="005C4DF0">
        <w:rPr>
          <w:rFonts w:eastAsia="Times New Roman" w:cs="Times New Roman"/>
          <w:b/>
          <w:bCs/>
          <w:sz w:val="28"/>
          <w:szCs w:val="24"/>
          <w:u w:val="single"/>
          <w:lang w:eastAsia="fr-BE"/>
        </w:rPr>
        <w:t>Mardi 13 mars – 17h &gt; 20h30 : Le bilan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Qu'est-ce que le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bilan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?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Présentation des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notions d'actif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("utilisation des fonds")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et de passif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("sources des fonds").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Comment se présente un bilan et que contient-il ? Présentation des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 xml:space="preserve">grandes masses </w:t>
      </w:r>
      <w:proofErr w:type="spellStart"/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bilantaires</w:t>
      </w:r>
      <w:proofErr w:type="spellEnd"/>
      <w:r w:rsidRPr="005C4DF0">
        <w:rPr>
          <w:rFonts w:eastAsia="Times New Roman" w:cs="Times New Roman"/>
          <w:sz w:val="24"/>
          <w:szCs w:val="24"/>
          <w:lang w:eastAsia="fr-BE"/>
        </w:rPr>
        <w:t xml:space="preserve"> (actifs immobilisés, créances clients, dettes fournisseurs, etc.).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Lien entre bilan et compte de résultats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: notamment différence entre résultats et trésorerie et entre charges et investissements.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Explication de la notion de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besoin en fonds de roulement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(pourra éventuellement être abordé lors du premier module).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Premier niveau d'analyse : Les grands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 xml:space="preserve">équilibres </w:t>
      </w:r>
      <w:proofErr w:type="spellStart"/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bilantaires</w:t>
      </w:r>
      <w:proofErr w:type="spellEnd"/>
      <w:r w:rsidRPr="005C4DF0">
        <w:rPr>
          <w:rFonts w:eastAsia="Times New Roman" w:cs="Times New Roman"/>
          <w:sz w:val="24"/>
          <w:szCs w:val="24"/>
          <w:lang w:eastAsia="fr-BE"/>
        </w:rPr>
        <w:t xml:space="preserve"> (Actifs immobilisés Vs capitaux permanents, actif CT VS dette CT).</w:t>
      </w:r>
    </w:p>
    <w:p w:rsidR="005C4DF0" w:rsidRP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Second niveau d'analyse :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Solvabilité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: Evaluer le niveau d'endettement et la capacité de remboursement (ex. capitaux propres/passif et dette/cash-flow).</w:t>
      </w:r>
    </w:p>
    <w:p w:rsidR="005C4DF0" w:rsidRDefault="005C4DF0" w:rsidP="005C4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5C4DF0">
        <w:rPr>
          <w:rFonts w:eastAsia="Times New Roman" w:cs="Times New Roman"/>
          <w:sz w:val="24"/>
          <w:szCs w:val="24"/>
          <w:lang w:eastAsia="fr-BE"/>
        </w:rPr>
        <w:t xml:space="preserve">Troisième niveau d'analyse : </w:t>
      </w:r>
      <w:r w:rsidRPr="005C4DF0">
        <w:rPr>
          <w:rFonts w:eastAsia="Times New Roman" w:cs="Times New Roman"/>
          <w:b/>
          <w:bCs/>
          <w:sz w:val="24"/>
          <w:szCs w:val="24"/>
          <w:lang w:eastAsia="fr-BE"/>
        </w:rPr>
        <w:t>Liquidité</w:t>
      </w:r>
      <w:r w:rsidRPr="005C4DF0">
        <w:rPr>
          <w:rFonts w:eastAsia="Times New Roman" w:cs="Times New Roman"/>
          <w:sz w:val="24"/>
          <w:szCs w:val="24"/>
          <w:lang w:eastAsia="fr-BE"/>
        </w:rPr>
        <w:t xml:space="preserve"> : Evaluer la trésorerie et les liquidités.</w:t>
      </w:r>
    </w:p>
    <w:sectPr w:rsidR="005C4DF0" w:rsidSect="005C4D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875"/>
    <w:multiLevelType w:val="multilevel"/>
    <w:tmpl w:val="1EC8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D1B70"/>
    <w:multiLevelType w:val="multilevel"/>
    <w:tmpl w:val="AAAE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0"/>
    <w:rsid w:val="005C4DF0"/>
    <w:rsid w:val="009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C4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C4DF0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styleId="lev">
    <w:name w:val="Strong"/>
    <w:basedOn w:val="Policepardfaut"/>
    <w:uiPriority w:val="22"/>
    <w:qFormat/>
    <w:rsid w:val="005C4D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C4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C4DF0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character" w:styleId="lev">
    <w:name w:val="Strong"/>
    <w:basedOn w:val="Policepardfaut"/>
    <w:uiPriority w:val="22"/>
    <w:qFormat/>
    <w:rsid w:val="005C4D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2018-01-24T14:59:00Z</dcterms:created>
  <dcterms:modified xsi:type="dcterms:W3CDTF">2018-01-24T15:07:00Z</dcterms:modified>
</cp:coreProperties>
</file>